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0E949" w14:textId="0D23E0B8" w:rsidR="00DF1048" w:rsidRPr="00DF1048" w:rsidRDefault="00DF1048" w:rsidP="00DF1048">
      <w:pPr>
        <w:ind w:left="2880" w:firstLine="720"/>
        <w:rPr>
          <w:rFonts w:ascii="Arial" w:hAnsi="Arial" w:cs="Arial"/>
          <w:b/>
          <w:sz w:val="24"/>
          <w:szCs w:val="24"/>
          <w:u w:val="single"/>
        </w:rPr>
      </w:pPr>
      <w:bookmarkStart w:id="0" w:name="_GoBack"/>
      <w:bookmarkEnd w:id="0"/>
      <w:r>
        <w:rPr>
          <w:rFonts w:ascii="Arial" w:hAnsi="Arial" w:cs="Arial"/>
          <w:b/>
          <w:sz w:val="24"/>
          <w:szCs w:val="24"/>
          <w:u w:val="single"/>
        </w:rPr>
        <w:t xml:space="preserve">Annex </w:t>
      </w:r>
      <w:r w:rsidR="0068765F">
        <w:rPr>
          <w:rFonts w:ascii="Arial" w:hAnsi="Arial" w:cs="Arial"/>
          <w:b/>
          <w:sz w:val="24"/>
          <w:szCs w:val="24"/>
          <w:u w:val="single"/>
        </w:rPr>
        <w:t>6</w:t>
      </w:r>
      <w:r>
        <w:rPr>
          <w:rFonts w:ascii="Arial" w:hAnsi="Arial" w:cs="Arial"/>
          <w:b/>
          <w:sz w:val="24"/>
          <w:szCs w:val="24"/>
          <w:u w:val="single"/>
        </w:rPr>
        <w:t xml:space="preserve"> - </w:t>
      </w:r>
      <w:r w:rsidRPr="00DF1048">
        <w:rPr>
          <w:rFonts w:ascii="Arial" w:hAnsi="Arial" w:cs="Arial"/>
          <w:b/>
          <w:sz w:val="24"/>
          <w:szCs w:val="24"/>
          <w:u w:val="single"/>
        </w:rPr>
        <w:t>CMP357 Legal Text</w:t>
      </w:r>
    </w:p>
    <w:p w14:paraId="0E823E5C" w14:textId="77777777" w:rsidR="00DF1048" w:rsidRDefault="00DF1048" w:rsidP="00DF1048">
      <w:pPr>
        <w:rPr>
          <w:rFonts w:ascii="Arial" w:eastAsia="Arial" w:hAnsi="Arial" w:cs="Arial"/>
          <w:sz w:val="24"/>
          <w:szCs w:val="24"/>
        </w:rPr>
      </w:pPr>
    </w:p>
    <w:p w14:paraId="359F02AC" w14:textId="77777777" w:rsidR="00DF1048" w:rsidRDefault="00DF1048" w:rsidP="00DF1048">
      <w:pPr>
        <w:rPr>
          <w:rFonts w:ascii="Arial" w:eastAsia="Arial" w:hAnsi="Arial" w:cs="Arial"/>
          <w:color w:val="0070C0"/>
          <w:sz w:val="24"/>
          <w:szCs w:val="24"/>
        </w:rPr>
      </w:pPr>
      <w:r>
        <w:rPr>
          <w:rFonts w:ascii="Arial" w:eastAsia="Arial" w:hAnsi="Arial" w:cs="Arial"/>
          <w:sz w:val="24"/>
          <w:szCs w:val="24"/>
        </w:rPr>
        <w:t>CMP346 (to be implemented 1 April 2021) changes are</w:t>
      </w:r>
      <w:r w:rsidRPr="6B1B5F2A">
        <w:rPr>
          <w:rFonts w:ascii="Arial" w:eastAsia="Arial" w:hAnsi="Arial" w:cs="Arial"/>
          <w:sz w:val="24"/>
          <w:szCs w:val="24"/>
        </w:rPr>
        <w:t xml:space="preserve"> in </w:t>
      </w:r>
      <w:r w:rsidRPr="6B1B5F2A">
        <w:rPr>
          <w:rFonts w:ascii="Arial" w:eastAsia="Arial" w:hAnsi="Arial" w:cs="Arial"/>
          <w:color w:val="0070C0"/>
          <w:sz w:val="24"/>
          <w:szCs w:val="24"/>
        </w:rPr>
        <w:t xml:space="preserve">blue </w:t>
      </w:r>
    </w:p>
    <w:p w14:paraId="3036639E" w14:textId="77777777" w:rsidR="00DF1048" w:rsidRPr="00DF1048" w:rsidRDefault="00DF1048" w:rsidP="00DF1048">
      <w:pPr>
        <w:rPr>
          <w:rFonts w:ascii="Arial" w:eastAsia="Arial" w:hAnsi="Arial" w:cs="Arial"/>
          <w:color w:val="00B050"/>
          <w:sz w:val="24"/>
          <w:szCs w:val="24"/>
        </w:rPr>
      </w:pPr>
      <w:r>
        <w:rPr>
          <w:rFonts w:ascii="Arial" w:eastAsia="Arial" w:hAnsi="Arial" w:cs="Arial"/>
          <w:sz w:val="24"/>
          <w:szCs w:val="24"/>
        </w:rPr>
        <w:t xml:space="preserve">CMP320 (to be implemented 1 April 2021) changes are in </w:t>
      </w:r>
      <w:r w:rsidRPr="6B1B5F2A">
        <w:rPr>
          <w:rFonts w:ascii="Arial" w:eastAsia="Arial" w:hAnsi="Arial" w:cs="Arial"/>
          <w:color w:val="00B050"/>
          <w:sz w:val="24"/>
          <w:szCs w:val="24"/>
        </w:rPr>
        <w:t>green</w:t>
      </w:r>
    </w:p>
    <w:p w14:paraId="3E39097C" w14:textId="77777777" w:rsidR="00DF1048" w:rsidRDefault="00DF1048" w:rsidP="00DF1048">
      <w:pPr>
        <w:pStyle w:val="1"/>
        <w:jc w:val="both"/>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68"/>
        <w:gridCol w:w="7548"/>
      </w:tblGrid>
      <w:tr w:rsidR="00DF1048" w14:paraId="39B15D81" w14:textId="77777777" w:rsidTr="00DF1048">
        <w:tc>
          <w:tcPr>
            <w:tcW w:w="1482" w:type="dxa"/>
            <w:tcBorders>
              <w:top w:val="single" w:sz="4" w:space="0" w:color="BFBFBF"/>
              <w:left w:val="single" w:sz="4" w:space="0" w:color="BFBFBF"/>
              <w:bottom w:val="single" w:sz="4" w:space="0" w:color="BFBFBF"/>
              <w:right w:val="single" w:sz="4" w:space="0" w:color="BFBFBF"/>
            </w:tcBorders>
            <w:hideMark/>
          </w:tcPr>
          <w:p w14:paraId="2D2DB05E" w14:textId="77777777" w:rsidR="00DF1048" w:rsidRDefault="00DF1048" w:rsidP="00926720">
            <w:pPr>
              <w:pStyle w:val="1"/>
              <w:jc w:val="both"/>
              <w:rPr>
                <w:lang w:eastAsia="en-GB"/>
              </w:rPr>
            </w:pPr>
            <w:r>
              <w:rPr>
                <w:lang w:eastAsia="en-GB"/>
              </w:rPr>
              <w:t>14.15.90</w:t>
            </w:r>
          </w:p>
        </w:tc>
        <w:tc>
          <w:tcPr>
            <w:tcW w:w="7760" w:type="dxa"/>
            <w:tcBorders>
              <w:top w:val="single" w:sz="4" w:space="0" w:color="BFBFBF"/>
              <w:left w:val="single" w:sz="4" w:space="0" w:color="BFBFBF"/>
              <w:bottom w:val="single" w:sz="4" w:space="0" w:color="BFBFBF"/>
              <w:right w:val="single" w:sz="4" w:space="0" w:color="BFBFBF"/>
            </w:tcBorders>
          </w:tcPr>
          <w:p w14:paraId="4CD3C337" w14:textId="77777777" w:rsidR="00DF1048" w:rsidRDefault="00DF1048" w:rsidP="00926720">
            <w:pPr>
              <w:pStyle w:val="1"/>
              <w:jc w:val="both"/>
              <w:rPr>
                <w:lang w:eastAsia="en-GB"/>
              </w:rPr>
            </w:pPr>
            <w:r>
              <w:rPr>
                <w:color w:val="00B050"/>
                <w:lang w:eastAsia="en-GB"/>
              </w:rPr>
              <w:t>For the purposes of 14.15.88</w:t>
            </w:r>
            <w:r>
              <w:rPr>
                <w:lang w:eastAsia="en-GB"/>
              </w:rPr>
              <w:t xml:space="preserve"> the locational onshore security factor</w:t>
            </w:r>
            <w:r>
              <w:rPr>
                <w:color w:val="0070C0"/>
                <w:u w:val="single"/>
                <w:lang w:eastAsia="en-GB"/>
              </w:rPr>
              <w:t>,</w:t>
            </w:r>
            <w:r>
              <w:rPr>
                <w:lang w:eastAsia="en-GB"/>
              </w:rPr>
              <w:t xml:space="preserve"> derived</w:t>
            </w:r>
            <w:r>
              <w:rPr>
                <w:color w:val="0070C0"/>
                <w:u w:val="single"/>
                <w:lang w:eastAsia="en-GB"/>
              </w:rPr>
              <w:t xml:space="preserve"> in accordance with paragraphs 14.15.88 and 14.15.89,</w:t>
            </w:r>
            <w:r>
              <w:rPr>
                <w:strike/>
                <w:color w:val="FF0000"/>
                <w:lang w:eastAsia="en-GB"/>
              </w:rPr>
              <w:t xml:space="preserve"> </w:t>
            </w:r>
            <w:r w:rsidRPr="00DF1048">
              <w:rPr>
                <w:strike/>
                <w:color w:val="0070C0"/>
                <w:lang w:eastAsia="en-GB"/>
              </w:rPr>
              <w:t>for 2010/11 is 1.8 and</w:t>
            </w:r>
            <w:r w:rsidRPr="00DF1048">
              <w:rPr>
                <w:color w:val="0070C0"/>
                <w:lang w:eastAsia="en-GB"/>
              </w:rPr>
              <w:t xml:space="preserve"> </w:t>
            </w:r>
            <w:r>
              <w:rPr>
                <w:lang w:eastAsia="en-GB"/>
              </w:rPr>
              <w:t>is based on an average from a number of studies conducted by The Company to account for future network developments. The security factor is reviewed for each price control period and fixed for the duration.</w:t>
            </w:r>
            <w:r>
              <w:rPr>
                <w:color w:val="0070C0"/>
                <w:u w:val="single"/>
                <w:lang w:eastAsia="en-GB"/>
              </w:rPr>
              <w:t xml:space="preserve"> The locational onshore security factor which is currently applicable, is detailed in The Company's </w:t>
            </w:r>
            <w:r>
              <w:rPr>
                <w:b/>
                <w:color w:val="0070C0"/>
                <w:u w:val="single"/>
                <w:lang w:eastAsia="en-GB"/>
              </w:rPr>
              <w:t>Statement of Use of System Charges</w:t>
            </w:r>
            <w:r>
              <w:rPr>
                <w:color w:val="0070C0"/>
                <w:u w:val="single"/>
                <w:lang w:eastAsia="en-GB"/>
              </w:rPr>
              <w:t xml:space="preserve">, which is available from the </w:t>
            </w:r>
            <w:r>
              <w:rPr>
                <w:b/>
                <w:color w:val="0070C0"/>
                <w:u w:val="single"/>
                <w:lang w:eastAsia="en-GB"/>
              </w:rPr>
              <w:t>Charging website</w:t>
            </w:r>
            <w:r>
              <w:rPr>
                <w:u w:val="single"/>
                <w:lang w:eastAsia="en-GB"/>
              </w:rPr>
              <w:t>.</w:t>
            </w:r>
          </w:p>
          <w:p w14:paraId="72F4F03E" w14:textId="77777777" w:rsidR="00DF1048" w:rsidRDefault="00DF1048" w:rsidP="00926720">
            <w:pPr>
              <w:pStyle w:val="1"/>
              <w:jc w:val="both"/>
              <w:rPr>
                <w:lang w:eastAsia="en-GB"/>
              </w:rPr>
            </w:pPr>
          </w:p>
        </w:tc>
      </w:tr>
    </w:tbl>
    <w:p w14:paraId="645CF5C1" w14:textId="77777777" w:rsidR="00DF1048" w:rsidRDefault="00DF1048" w:rsidP="00DF1048">
      <w:pPr>
        <w:pStyle w:val="1"/>
        <w:jc w:val="both"/>
      </w:pPr>
    </w:p>
    <w:p w14:paraId="434AAB14" w14:textId="77777777" w:rsidR="00DF1048" w:rsidRDefault="00DF1048" w:rsidP="00DF1048">
      <w:pPr>
        <w:pStyle w:val="1"/>
        <w:jc w:val="both"/>
      </w:pPr>
      <w:bookmarkStart w:id="1" w:name="_Hlt506963614"/>
      <w:bookmarkEnd w:id="1"/>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91"/>
        <w:gridCol w:w="7525"/>
      </w:tblGrid>
      <w:tr w:rsidR="00DF1048" w14:paraId="6DA715E2" w14:textId="77777777" w:rsidTr="00926720">
        <w:tc>
          <w:tcPr>
            <w:tcW w:w="1526" w:type="dxa"/>
            <w:tcBorders>
              <w:top w:val="single" w:sz="4" w:space="0" w:color="BFBFBF"/>
              <w:left w:val="single" w:sz="4" w:space="0" w:color="BFBFBF"/>
              <w:bottom w:val="single" w:sz="4" w:space="0" w:color="BFBFBF"/>
              <w:right w:val="single" w:sz="4" w:space="0" w:color="BFBFBF"/>
            </w:tcBorders>
            <w:hideMark/>
          </w:tcPr>
          <w:p w14:paraId="2291F4CF" w14:textId="77777777" w:rsidR="00DF1048" w:rsidRDefault="00DF1048" w:rsidP="00926720">
            <w:pPr>
              <w:pStyle w:val="1"/>
              <w:jc w:val="both"/>
              <w:rPr>
                <w:lang w:eastAsia="en-GB"/>
              </w:rPr>
            </w:pPr>
            <w:r>
              <w:rPr>
                <w:lang w:eastAsia="en-GB"/>
              </w:rPr>
              <w:t>14.15.91</w:t>
            </w:r>
          </w:p>
        </w:tc>
        <w:tc>
          <w:tcPr>
            <w:tcW w:w="8044" w:type="dxa"/>
            <w:tcBorders>
              <w:top w:val="single" w:sz="4" w:space="0" w:color="BFBFBF"/>
              <w:left w:val="single" w:sz="4" w:space="0" w:color="BFBFBF"/>
              <w:bottom w:val="single" w:sz="4" w:space="0" w:color="BFBFBF"/>
              <w:right w:val="single" w:sz="4" w:space="0" w:color="BFBFBF"/>
            </w:tcBorders>
            <w:hideMark/>
          </w:tcPr>
          <w:p w14:paraId="54697B2B" w14:textId="77777777" w:rsidR="00DF1048" w:rsidRDefault="00DF1048" w:rsidP="00926720">
            <w:pPr>
              <w:pStyle w:val="1"/>
              <w:jc w:val="both"/>
              <w:rPr>
                <w:lang w:eastAsia="en-GB"/>
              </w:rPr>
            </w:pPr>
            <w:r>
              <w:rPr>
                <w:lang w:eastAsia="en-GB"/>
              </w:rPr>
              <w:t>Local onshore security factors are generator specific and are applied to a generator’s local onshore circuits</w:t>
            </w:r>
            <w:proofErr w:type="gramStart"/>
            <w:r>
              <w:rPr>
                <w:lang w:eastAsia="en-GB"/>
              </w:rPr>
              <w:t xml:space="preserve">.  </w:t>
            </w:r>
            <w:proofErr w:type="gramEnd"/>
            <w:r>
              <w:rPr>
                <w:lang w:eastAsia="en-GB"/>
              </w:rPr>
              <w:t xml:space="preserve">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Pr>
                <w:color w:val="0070C0"/>
                <w:u w:val="single"/>
                <w:lang w:eastAsia="en-GB"/>
              </w:rPr>
              <w:t>derived in accordance with paragraphs 14.15.88 and 14.15.90</w:t>
            </w:r>
            <w:r>
              <w:rPr>
                <w:color w:val="FF0000"/>
                <w:lang w:eastAsia="en-GB"/>
              </w:rPr>
              <w:t xml:space="preserve"> </w:t>
            </w:r>
            <w:r w:rsidRPr="00DF1048">
              <w:rPr>
                <w:strike/>
                <w:color w:val="0070C0"/>
                <w:lang w:eastAsia="en-GB"/>
              </w:rPr>
              <w:t>currently 1.8</w:t>
            </w:r>
            <w:r w:rsidRPr="00DF1048">
              <w:rPr>
                <w:color w:val="0070C0"/>
                <w:lang w:eastAsia="en-GB"/>
              </w:rPr>
              <w:t>.</w:t>
            </w:r>
          </w:p>
        </w:tc>
      </w:tr>
    </w:tbl>
    <w:p w14:paraId="3DFF6335" w14:textId="77777777" w:rsidR="00DF1048" w:rsidRDefault="00DF1048" w:rsidP="00DF1048">
      <w:pPr>
        <w:pStyle w:val="1"/>
        <w:jc w:val="both"/>
      </w:pPr>
    </w:p>
    <w:p w14:paraId="1C78FA1F" w14:textId="77777777" w:rsidR="00DF1048" w:rsidRDefault="00DF1048" w:rsidP="00DF1048">
      <w:pPr>
        <w:pStyle w:val="1"/>
        <w:tabs>
          <w:tab w:val="left" w:pos="2835"/>
        </w:tabs>
        <w:ind w:firstLine="709"/>
        <w:jc w:val="both"/>
        <w:rPr>
          <w:rFonts w:cs="Arial"/>
          <w:szCs w:val="22"/>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06"/>
        <w:gridCol w:w="7610"/>
      </w:tblGrid>
      <w:tr w:rsidR="00DF1048" w14:paraId="51565CF1" w14:textId="77777777" w:rsidTr="00926720">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202C16" w14:textId="77777777" w:rsidR="00DF1048" w:rsidRDefault="00DF1048" w:rsidP="00926720">
            <w:pPr>
              <w:pStyle w:val="1"/>
              <w:jc w:val="both"/>
              <w:rPr>
                <w:lang w:eastAsia="en-GB"/>
              </w:rPr>
            </w:pPr>
            <w:r>
              <w:rPr>
                <w:lang w:eastAsia="en-GB"/>
              </w:rPr>
              <w:t>14.15.94</w:t>
            </w:r>
          </w:p>
        </w:tc>
        <w:tc>
          <w:tcPr>
            <w:tcW w:w="80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82401" w14:textId="77777777" w:rsidR="00DF1048" w:rsidRPr="00DF1048" w:rsidRDefault="00DF1048" w:rsidP="00926720">
            <w:pPr>
              <w:pStyle w:val="1"/>
              <w:jc w:val="both"/>
              <w:rPr>
                <w:color w:val="0070C0"/>
                <w:lang w:eastAsia="en-GB"/>
              </w:rPr>
            </w:pPr>
            <w:r>
              <w:rPr>
                <w:lang w:eastAsia="en-GB"/>
              </w:rPr>
              <w:t xml:space="preserve">The offshore </w:t>
            </w:r>
            <w:r>
              <w:rPr>
                <w:color w:val="0070C0"/>
                <w:u w:val="single"/>
                <w:lang w:eastAsia="en-GB"/>
              </w:rPr>
              <w:t>local</w:t>
            </w:r>
            <w:r>
              <w:rPr>
                <w:lang w:eastAsia="en-GB"/>
              </w:rPr>
              <w:t xml:space="preserve"> security factor for single circuits with a single cable will be 1.0 and for multiple circuit connections will be capped at the locational onshore security factor, derived </w:t>
            </w:r>
            <w:r>
              <w:rPr>
                <w:color w:val="0070C0"/>
                <w:u w:val="single"/>
                <w:lang w:eastAsia="en-GB"/>
              </w:rPr>
              <w:t>in accordance with 14.15.88-14.15.90</w:t>
            </w:r>
            <w:r>
              <w:rPr>
                <w:lang w:eastAsia="en-GB"/>
              </w:rPr>
              <w:t xml:space="preserve"> </w:t>
            </w:r>
            <w:r w:rsidRPr="00DF1048">
              <w:rPr>
                <w:strike/>
                <w:color w:val="0070C0"/>
                <w:lang w:eastAsia="en-GB"/>
              </w:rPr>
              <w:t>as 1.8 for 2010/11</w:t>
            </w:r>
            <w:r w:rsidRPr="00DF1048">
              <w:rPr>
                <w:color w:val="0070C0"/>
                <w:lang w:eastAsia="en-GB"/>
              </w:rPr>
              <w:t>.</w:t>
            </w:r>
          </w:p>
          <w:p w14:paraId="2B9A164D" w14:textId="77777777" w:rsidR="00DF1048" w:rsidRDefault="00DF1048" w:rsidP="00926720">
            <w:pPr>
              <w:pStyle w:val="1"/>
              <w:jc w:val="both"/>
              <w:rPr>
                <w:lang w:eastAsia="en-GB"/>
              </w:rPr>
            </w:pPr>
          </w:p>
        </w:tc>
      </w:tr>
      <w:tr w:rsidR="00DF1048" w14:paraId="2268BF03" w14:textId="77777777" w:rsidTr="00926720">
        <w:tc>
          <w:tcPr>
            <w:tcW w:w="15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3862A3" w14:textId="77777777" w:rsidR="00DF1048" w:rsidRDefault="00DF1048" w:rsidP="00926720">
            <w:pPr>
              <w:pStyle w:val="1"/>
              <w:jc w:val="both"/>
              <w:rPr>
                <w:lang w:eastAsia="en-GB"/>
              </w:rPr>
            </w:pPr>
            <w:r>
              <w:rPr>
                <w:lang w:eastAsia="en-GB"/>
              </w:rPr>
              <w:t>14.15.95</w:t>
            </w:r>
          </w:p>
        </w:tc>
        <w:tc>
          <w:tcPr>
            <w:tcW w:w="80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2D064C" w14:textId="77777777" w:rsidR="00DF1048" w:rsidRDefault="00DF1048" w:rsidP="00926720">
            <w:pPr>
              <w:pStyle w:val="1"/>
              <w:jc w:val="both"/>
              <w:rPr>
                <w:lang w:eastAsia="en-GB"/>
              </w:rPr>
            </w:pPr>
            <w:r>
              <w:rPr>
                <w:lang w:eastAsia="en-GB"/>
              </w:rPr>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Pr>
                <w:color w:val="0070C0"/>
                <w:u w:val="single"/>
                <w:lang w:eastAsia="en-GB"/>
              </w:rPr>
              <w:t>the locational onshore security factor</w:t>
            </w:r>
            <w:r>
              <w:rPr>
                <w:strike/>
                <w:color w:val="0070C0"/>
                <w:lang w:eastAsia="en-GB"/>
              </w:rPr>
              <w:t xml:space="preserve"> </w:t>
            </w:r>
            <w:r w:rsidRPr="00DF1048">
              <w:rPr>
                <w:strike/>
                <w:color w:val="0070C0"/>
                <w:lang w:eastAsia="en-GB"/>
              </w:rPr>
              <w:t>1.8</w:t>
            </w:r>
            <w:r w:rsidRPr="00DF1048">
              <w:rPr>
                <w:color w:val="0070C0"/>
                <w:lang w:eastAsia="en-GB"/>
              </w:rPr>
              <w:t xml:space="preserve">, </w:t>
            </w:r>
            <w:r>
              <w:rPr>
                <w:lang w:eastAsia="en-GB"/>
              </w:rPr>
              <w:t xml:space="preserve">will be calculated for each offshore connection using the following methodology: </w:t>
            </w:r>
          </w:p>
          <w:p w14:paraId="7157477B" w14:textId="77777777" w:rsidR="00DF1048" w:rsidRDefault="00DF1048" w:rsidP="00926720">
            <w:pPr>
              <w:pStyle w:val="1"/>
              <w:ind w:left="1440" w:hanging="1440"/>
              <w:jc w:val="both"/>
              <w:rPr>
                <w:lang w:eastAsia="en-GB"/>
              </w:rPr>
            </w:pPr>
          </w:p>
          <w:p w14:paraId="3C5E2A87" w14:textId="77777777" w:rsidR="00DF1048" w:rsidRDefault="00DF1048" w:rsidP="00926720">
            <w:pPr>
              <w:pStyle w:val="1"/>
              <w:ind w:left="1440" w:hanging="1440"/>
              <w:jc w:val="center"/>
              <w:rPr>
                <w:lang w:eastAsia="en-GB"/>
              </w:rPr>
            </w:pPr>
            <w:r>
              <w:rPr>
                <w:rFonts w:cs="Arial"/>
                <w:noProof/>
                <w:color w:val="9BBB59"/>
                <w:position w:val="-46"/>
                <w:szCs w:val="22"/>
                <w:lang w:eastAsia="en-GB"/>
              </w:rPr>
              <w:drawing>
                <wp:inline distT="0" distB="0" distL="0" distR="0" wp14:anchorId="15AF7211" wp14:editId="06B7A9E1">
                  <wp:extent cx="3933825"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03925CBB" w14:textId="77777777" w:rsidR="00DF1048" w:rsidRDefault="00DF1048" w:rsidP="00926720">
            <w:pPr>
              <w:pStyle w:val="1"/>
              <w:ind w:left="1440" w:hanging="1440"/>
              <w:jc w:val="both"/>
              <w:rPr>
                <w:lang w:eastAsia="en-GB"/>
              </w:rPr>
            </w:pPr>
          </w:p>
          <w:p w14:paraId="20FC23B0" w14:textId="77777777" w:rsidR="00DF1048" w:rsidRDefault="00DF1048" w:rsidP="00926720">
            <w:pPr>
              <w:pStyle w:val="1"/>
              <w:ind w:firstLine="720"/>
              <w:jc w:val="both"/>
              <w:rPr>
                <w:lang w:eastAsia="en-GB"/>
              </w:rPr>
            </w:pPr>
            <w:r>
              <w:rPr>
                <w:lang w:eastAsia="en-GB"/>
              </w:rPr>
              <w:t xml:space="preserve">Where: </w:t>
            </w:r>
          </w:p>
          <w:p w14:paraId="03F1E1CB" w14:textId="77777777" w:rsidR="00DF1048" w:rsidRDefault="00DF1048" w:rsidP="00926720">
            <w:pPr>
              <w:pStyle w:val="1"/>
              <w:ind w:left="2268" w:hanging="1548"/>
              <w:jc w:val="both"/>
              <w:rPr>
                <w:lang w:eastAsia="en-GB"/>
              </w:rPr>
            </w:pPr>
            <w:proofErr w:type="spellStart"/>
            <w:r>
              <w:rPr>
                <w:lang w:eastAsia="en-GB"/>
              </w:rPr>
              <w:t>IRevOFTO</w:t>
            </w:r>
            <w:proofErr w:type="spellEnd"/>
            <w:r>
              <w:rPr>
                <w:lang w:eastAsia="en-GB"/>
              </w:rPr>
              <w:t xml:space="preserve"> =  The appropriate proportion of the Offshore Interlink(s) revenue in £ associated with the offshore connection calculated in 14.15.85 </w:t>
            </w:r>
          </w:p>
          <w:p w14:paraId="716FEDD4" w14:textId="77777777" w:rsidR="00DF1048" w:rsidRDefault="00DF1048" w:rsidP="00926720">
            <w:pPr>
              <w:pStyle w:val="1"/>
              <w:ind w:left="2268" w:hanging="1548"/>
              <w:jc w:val="both"/>
              <w:rPr>
                <w:lang w:eastAsia="en-GB"/>
              </w:rPr>
            </w:pPr>
            <w:proofErr w:type="spellStart"/>
            <w:r>
              <w:rPr>
                <w:lang w:eastAsia="en-GB"/>
              </w:rPr>
              <w:t>CRevOFTO</w:t>
            </w:r>
            <w:proofErr w:type="spellEnd"/>
            <w:r>
              <w:rPr>
                <w:lang w:eastAsia="en-GB"/>
              </w:rPr>
              <w:t xml:space="preserve"> =  The offshore circuit revenue in £ associated with the circuit(s) from the offshore substation to the Single Common Substation. </w:t>
            </w:r>
          </w:p>
          <w:p w14:paraId="6E03C9FC" w14:textId="77777777" w:rsidR="00DF1048" w:rsidRDefault="00DF1048" w:rsidP="00C56A4B">
            <w:pPr>
              <w:pStyle w:val="1"/>
              <w:ind w:left="2376" w:hanging="1656"/>
              <w:jc w:val="both"/>
              <w:rPr>
                <w:lang w:eastAsia="en-GB"/>
              </w:rPr>
            </w:pPr>
            <w:proofErr w:type="spellStart"/>
            <w:r>
              <w:rPr>
                <w:u w:val="single"/>
                <w:lang w:eastAsia="en-GB"/>
              </w:rPr>
              <w:t>LocalSF</w:t>
            </w:r>
            <w:r>
              <w:rPr>
                <w:u w:val="single"/>
                <w:vertAlign w:val="subscript"/>
                <w:lang w:eastAsia="en-GB"/>
              </w:rPr>
              <w:t>initial</w:t>
            </w:r>
            <w:proofErr w:type="spellEnd"/>
            <w:r>
              <w:rPr>
                <w:u w:val="single"/>
                <w:lang w:eastAsia="en-GB"/>
              </w:rPr>
              <w:t xml:space="preserve"> </w:t>
            </w:r>
            <w:r>
              <w:rPr>
                <w:lang w:eastAsia="en-GB"/>
              </w:rPr>
              <w:t>=    Initial Local Security Factor calculated in 14.15.</w:t>
            </w:r>
            <w:r>
              <w:rPr>
                <w:strike/>
                <w:color w:val="FF0000"/>
                <w:lang w:eastAsia="en-GB"/>
              </w:rPr>
              <w:t>80</w:t>
            </w:r>
            <w:r>
              <w:rPr>
                <w:color w:val="0070C0"/>
                <w:u w:val="single"/>
                <w:lang w:eastAsia="en-GB"/>
              </w:rPr>
              <w:t>93</w:t>
            </w:r>
            <w:r>
              <w:rPr>
                <w:lang w:eastAsia="en-GB"/>
              </w:rPr>
              <w:t xml:space="preserve"> </w:t>
            </w:r>
            <w:r w:rsidR="00C56A4B">
              <w:rPr>
                <w:lang w:eastAsia="en-GB"/>
              </w:rPr>
              <w:t xml:space="preserve">  </w:t>
            </w:r>
            <w:r>
              <w:rPr>
                <w:lang w:eastAsia="en-GB"/>
              </w:rPr>
              <w:t>and</w:t>
            </w:r>
            <w:r w:rsidR="00C56A4B">
              <w:rPr>
                <w:lang w:eastAsia="en-GB"/>
              </w:rPr>
              <w:t xml:space="preserve"> </w:t>
            </w:r>
            <w:r>
              <w:rPr>
                <w:lang w:eastAsia="en-GB"/>
              </w:rPr>
              <w:t>14.15.</w:t>
            </w:r>
            <w:r>
              <w:rPr>
                <w:strike/>
                <w:color w:val="FF0000"/>
                <w:lang w:eastAsia="en-GB"/>
              </w:rPr>
              <w:t>81</w:t>
            </w:r>
            <w:r>
              <w:rPr>
                <w:color w:val="0070C0"/>
                <w:u w:val="single"/>
                <w:lang w:eastAsia="en-GB"/>
              </w:rPr>
              <w:t>94</w:t>
            </w:r>
            <w:r>
              <w:rPr>
                <w:lang w:eastAsia="en-GB"/>
              </w:rPr>
              <w:t xml:space="preserve"> and other definitions as in 14.15.</w:t>
            </w:r>
            <w:r>
              <w:rPr>
                <w:strike/>
                <w:color w:val="FF0000"/>
                <w:lang w:eastAsia="en-GB"/>
              </w:rPr>
              <w:t>80</w:t>
            </w:r>
            <w:r>
              <w:rPr>
                <w:color w:val="0070C0"/>
                <w:u w:val="single"/>
                <w:lang w:eastAsia="en-GB"/>
              </w:rPr>
              <w:t>93</w:t>
            </w:r>
            <w:r>
              <w:rPr>
                <w:lang w:eastAsia="en-GB"/>
              </w:rPr>
              <w:t>.</w:t>
            </w:r>
          </w:p>
        </w:tc>
      </w:tr>
    </w:tbl>
    <w:p w14:paraId="3DD105B5" w14:textId="77777777" w:rsidR="00DF1048" w:rsidRDefault="00DF1048" w:rsidP="00DF1048">
      <w:pPr>
        <w:rPr>
          <w:rFonts w:ascii="Arial" w:eastAsia="Arial" w:hAnsi="Arial" w:cs="Arial"/>
          <w:color w:val="FF0000"/>
          <w:sz w:val="24"/>
          <w:szCs w:val="24"/>
        </w:rPr>
      </w:pPr>
      <w:bookmarkStart w:id="2" w:name="_Toc208745844"/>
      <w:bookmarkStart w:id="3" w:name="_Toc208554781"/>
      <w:r>
        <w:rPr>
          <w:rFonts w:ascii="Arial" w:eastAsia="Arial" w:hAnsi="Arial" w:cs="Arial"/>
          <w:sz w:val="24"/>
          <w:szCs w:val="24"/>
        </w:rPr>
        <w:lastRenderedPageBreak/>
        <w:t>CMP357 changes (with CMP320 and CMP346 changes included)</w:t>
      </w:r>
      <w:r w:rsidRPr="6B1B5F2A">
        <w:rPr>
          <w:rFonts w:ascii="Arial" w:eastAsia="Arial" w:hAnsi="Arial" w:cs="Arial"/>
          <w:sz w:val="24"/>
          <w:szCs w:val="24"/>
        </w:rPr>
        <w:t xml:space="preserve"> are shown in </w:t>
      </w:r>
      <w:r w:rsidRPr="6B1B5F2A">
        <w:rPr>
          <w:rFonts w:ascii="Arial" w:eastAsia="Arial" w:hAnsi="Arial" w:cs="Arial"/>
          <w:color w:val="FF0000"/>
          <w:sz w:val="24"/>
          <w:szCs w:val="24"/>
        </w:rPr>
        <w:t xml:space="preserve">red </w:t>
      </w:r>
    </w:p>
    <w:tbl>
      <w:tblPr>
        <w:tblW w:w="9606" w:type="dxa"/>
        <w:tblInd w:w="-108" w:type="dxa"/>
        <w:tblCellMar>
          <w:left w:w="0" w:type="dxa"/>
          <w:right w:w="0" w:type="dxa"/>
        </w:tblCellMar>
        <w:tblLook w:val="04A0" w:firstRow="1" w:lastRow="0" w:firstColumn="1" w:lastColumn="0" w:noHBand="0" w:noVBand="1"/>
      </w:tblPr>
      <w:tblGrid>
        <w:gridCol w:w="1209"/>
        <w:gridCol w:w="8397"/>
      </w:tblGrid>
      <w:tr w:rsidR="00C56A4B" w14:paraId="20FDAC4A" w14:textId="77777777" w:rsidTr="00C56A4B">
        <w:trPr>
          <w:trHeight w:val="983"/>
        </w:trPr>
        <w:tc>
          <w:tcPr>
            <w:tcW w:w="1209" w:type="dxa"/>
            <w:tcMar>
              <w:top w:w="0" w:type="dxa"/>
              <w:left w:w="108" w:type="dxa"/>
              <w:bottom w:w="0" w:type="dxa"/>
              <w:right w:w="108" w:type="dxa"/>
            </w:tcMar>
            <w:hideMark/>
          </w:tcPr>
          <w:p w14:paraId="16D4D6E2" w14:textId="77777777" w:rsidR="00C56A4B" w:rsidRDefault="00C56A4B" w:rsidP="00C56A4B">
            <w:pPr>
              <w:autoSpaceDE w:val="0"/>
              <w:autoSpaceDN w:val="0"/>
              <w:jc w:val="both"/>
              <w:rPr>
                <w:rFonts w:ascii="Arial" w:hAnsi="Arial" w:cs="Arial"/>
                <w:color w:val="000000"/>
                <w:lang w:eastAsia="en-GB"/>
              </w:rPr>
            </w:pPr>
            <w:r>
              <w:rPr>
                <w:rFonts w:ascii="Arial" w:hAnsi="Arial" w:cs="Arial"/>
                <w:color w:val="000000"/>
              </w:rPr>
              <w:t xml:space="preserve">14.15.90 </w:t>
            </w:r>
          </w:p>
        </w:tc>
        <w:tc>
          <w:tcPr>
            <w:tcW w:w="8397" w:type="dxa"/>
            <w:tcMar>
              <w:top w:w="0" w:type="dxa"/>
              <w:left w:w="108" w:type="dxa"/>
              <w:bottom w:w="0" w:type="dxa"/>
              <w:right w:w="108" w:type="dxa"/>
            </w:tcMar>
            <w:hideMark/>
          </w:tcPr>
          <w:p w14:paraId="7E4465AD" w14:textId="77777777" w:rsidR="00C56A4B" w:rsidRDefault="00C56A4B" w:rsidP="00C56A4B">
            <w:pPr>
              <w:autoSpaceDE w:val="0"/>
              <w:autoSpaceDN w:val="0"/>
              <w:jc w:val="both"/>
              <w:rPr>
                <w:rFonts w:ascii="Arial" w:hAnsi="Arial" w:cs="Arial"/>
                <w:color w:val="000000"/>
              </w:rPr>
            </w:pPr>
            <w:r w:rsidRPr="6AC8975E">
              <w:rPr>
                <w:rFonts w:ascii="Arial" w:hAnsi="Arial" w:cs="Arial"/>
                <w:color w:val="000000"/>
              </w:rPr>
              <w:t xml:space="preserve">For the purposes of 14.15.88 the locational onshore security factor, derived in accordance with paragraphs 14.15.88 and 14.15.89, is based on an average from a number of studies conducted by The Company to account for future network developments. The security factor is reviewed for each price control period and fixed for the duration. The locational onshore security factor, </w:t>
            </w:r>
            <w:r w:rsidRPr="6AC8975E">
              <w:rPr>
                <w:rFonts w:ascii="Arial" w:hAnsi="Arial" w:cs="Arial"/>
                <w:color w:val="FF0000"/>
              </w:rPr>
              <w:t xml:space="preserve">expressed to eight decimal places, </w:t>
            </w:r>
            <w:r w:rsidRPr="6AC8975E">
              <w:rPr>
                <w:rFonts w:ascii="Arial" w:hAnsi="Arial" w:cs="Arial"/>
                <w:color w:val="000000"/>
              </w:rPr>
              <w:t xml:space="preserve">which is currently applicable, is detailed in The Company's </w:t>
            </w:r>
            <w:r w:rsidRPr="6AC8975E">
              <w:rPr>
                <w:rFonts w:ascii="Arial" w:hAnsi="Arial" w:cs="Arial"/>
                <w:b/>
                <w:bCs/>
                <w:color w:val="000000"/>
              </w:rPr>
              <w:t>Statement of Use of System Charges</w:t>
            </w:r>
            <w:r w:rsidRPr="6AC8975E">
              <w:rPr>
                <w:rFonts w:ascii="Arial" w:hAnsi="Arial" w:cs="Arial"/>
                <w:color w:val="000000"/>
              </w:rPr>
              <w:t xml:space="preserve">, which is available from the </w:t>
            </w:r>
            <w:r w:rsidRPr="6AC8975E">
              <w:rPr>
                <w:rFonts w:ascii="Arial" w:hAnsi="Arial" w:cs="Arial"/>
                <w:b/>
                <w:bCs/>
                <w:color w:val="000000"/>
              </w:rPr>
              <w:t>Charging website</w:t>
            </w:r>
            <w:r w:rsidRPr="6AC8975E">
              <w:rPr>
                <w:rFonts w:ascii="Arial" w:hAnsi="Arial" w:cs="Arial"/>
                <w:color w:val="000000"/>
              </w:rPr>
              <w:t xml:space="preserve">. </w:t>
            </w:r>
          </w:p>
        </w:tc>
      </w:tr>
      <w:tr w:rsidR="00C56A4B" w14:paraId="603C6A45" w14:textId="77777777" w:rsidTr="00C56A4B">
        <w:trPr>
          <w:trHeight w:val="730"/>
        </w:trPr>
        <w:tc>
          <w:tcPr>
            <w:tcW w:w="1209" w:type="dxa"/>
            <w:tcMar>
              <w:top w:w="0" w:type="dxa"/>
              <w:left w:w="108" w:type="dxa"/>
              <w:bottom w:w="0" w:type="dxa"/>
              <w:right w:w="108" w:type="dxa"/>
            </w:tcMar>
            <w:hideMark/>
          </w:tcPr>
          <w:p w14:paraId="3EC751E6" w14:textId="77777777" w:rsidR="00C56A4B" w:rsidRDefault="00C56A4B" w:rsidP="00C56A4B">
            <w:pPr>
              <w:autoSpaceDE w:val="0"/>
              <w:autoSpaceDN w:val="0"/>
              <w:jc w:val="both"/>
              <w:rPr>
                <w:rFonts w:ascii="Arial" w:hAnsi="Arial" w:cs="Arial"/>
                <w:color w:val="000000"/>
                <w:lang w:eastAsia="en-GB"/>
              </w:rPr>
            </w:pPr>
            <w:r>
              <w:rPr>
                <w:rFonts w:ascii="Arial" w:hAnsi="Arial" w:cs="Arial"/>
                <w:color w:val="000000"/>
              </w:rPr>
              <w:t xml:space="preserve">14.15.91 </w:t>
            </w:r>
          </w:p>
        </w:tc>
        <w:tc>
          <w:tcPr>
            <w:tcW w:w="8397" w:type="dxa"/>
            <w:tcMar>
              <w:top w:w="0" w:type="dxa"/>
              <w:left w:w="108" w:type="dxa"/>
              <w:bottom w:w="0" w:type="dxa"/>
              <w:right w:w="108" w:type="dxa"/>
            </w:tcMar>
            <w:hideMark/>
          </w:tcPr>
          <w:p w14:paraId="7F9DB52D" w14:textId="77777777" w:rsidR="00C56A4B" w:rsidRDefault="00C56A4B" w:rsidP="00C56A4B">
            <w:pPr>
              <w:autoSpaceDE w:val="0"/>
              <w:autoSpaceDN w:val="0"/>
              <w:jc w:val="both"/>
              <w:rPr>
                <w:rFonts w:ascii="Arial" w:hAnsi="Arial" w:cs="Arial"/>
                <w:color w:val="000000"/>
              </w:rPr>
            </w:pPr>
            <w:r w:rsidRPr="6AC8975E">
              <w:rPr>
                <w:rFonts w:ascii="Arial" w:hAnsi="Arial" w:cs="Arial"/>
                <w:color w:val="000000"/>
              </w:rPr>
              <w:t>Local onshore security factors are generator specific and are applied to a generator’s local onshore circuits. If the loss of any one of the local circuits prevents the export of power from the generator to the MITS then a local security factor of 1.0 is applied. For generation with circuit redundancy, a local security factor is applied that is equal to the locational security factor, derived in accordance with paragraphs 14.15.88 and 14.15.90</w:t>
            </w:r>
            <w:r>
              <w:rPr>
                <w:rFonts w:ascii="Arial" w:hAnsi="Arial" w:cs="Arial"/>
                <w:color w:val="FF0000"/>
              </w:rPr>
              <w:t>,</w:t>
            </w:r>
            <w:r w:rsidRPr="6AC8975E">
              <w:rPr>
                <w:rFonts w:ascii="Arial" w:hAnsi="Arial" w:cs="Arial"/>
                <w:color w:val="000000"/>
              </w:rPr>
              <w:t xml:space="preserve"> </w:t>
            </w:r>
            <w:r w:rsidRPr="6AC8975E">
              <w:rPr>
                <w:rFonts w:ascii="Arial" w:hAnsi="Arial" w:cs="Arial"/>
                <w:color w:val="FF0000"/>
              </w:rPr>
              <w:t>which is expressed to eight decimal places</w:t>
            </w:r>
            <w:r w:rsidRPr="6AC8975E">
              <w:rPr>
                <w:rFonts w:ascii="Arial" w:hAnsi="Arial" w:cs="Arial"/>
                <w:color w:val="000000"/>
              </w:rPr>
              <w:t xml:space="preserve">. </w:t>
            </w:r>
          </w:p>
        </w:tc>
      </w:tr>
      <w:tr w:rsidR="00C56A4B" w:rsidRPr="006F5E22" w14:paraId="7DD651A8" w14:textId="77777777" w:rsidTr="00C56A4B">
        <w:trPr>
          <w:trHeight w:val="730"/>
        </w:trPr>
        <w:tc>
          <w:tcPr>
            <w:tcW w:w="1209" w:type="dxa"/>
            <w:tcMar>
              <w:top w:w="0" w:type="dxa"/>
              <w:left w:w="108" w:type="dxa"/>
              <w:bottom w:w="0" w:type="dxa"/>
              <w:right w:w="108" w:type="dxa"/>
            </w:tcMar>
            <w:hideMark/>
          </w:tcPr>
          <w:p w14:paraId="08C5BAB4" w14:textId="77777777" w:rsidR="00C56A4B" w:rsidRPr="00C56A4B" w:rsidRDefault="00C56A4B" w:rsidP="00C56A4B">
            <w:pPr>
              <w:autoSpaceDE w:val="0"/>
              <w:autoSpaceDN w:val="0"/>
              <w:jc w:val="both"/>
              <w:rPr>
                <w:rFonts w:ascii="Arial" w:hAnsi="Arial" w:cs="Arial"/>
                <w:color w:val="000000"/>
              </w:rPr>
            </w:pPr>
            <w:r w:rsidRPr="00C56A4B">
              <w:rPr>
                <w:rFonts w:ascii="Arial" w:hAnsi="Arial" w:cs="Arial"/>
                <w:color w:val="000000"/>
              </w:rPr>
              <w:t xml:space="preserve">14.15.94 </w:t>
            </w:r>
          </w:p>
        </w:tc>
        <w:tc>
          <w:tcPr>
            <w:tcW w:w="8397" w:type="dxa"/>
            <w:tcMar>
              <w:top w:w="0" w:type="dxa"/>
              <w:left w:w="108" w:type="dxa"/>
              <w:bottom w:w="0" w:type="dxa"/>
              <w:right w:w="108" w:type="dxa"/>
            </w:tcMar>
          </w:tcPr>
          <w:p w14:paraId="24983281" w14:textId="77777777" w:rsidR="00C56A4B" w:rsidRPr="00C56A4B" w:rsidRDefault="00C56A4B" w:rsidP="00C56A4B">
            <w:pPr>
              <w:autoSpaceDE w:val="0"/>
              <w:autoSpaceDN w:val="0"/>
              <w:jc w:val="both"/>
              <w:rPr>
                <w:rFonts w:ascii="Arial" w:hAnsi="Arial" w:cs="Arial"/>
                <w:color w:val="000000"/>
              </w:rPr>
            </w:pPr>
            <w:r w:rsidRPr="00C56A4B">
              <w:rPr>
                <w:rFonts w:ascii="Arial" w:hAnsi="Arial" w:cs="Arial"/>
                <w:color w:val="000000"/>
              </w:rPr>
              <w:t xml:space="preserve">The offshore local security factor for single circuits with a single cable will be 1.0 and for multiple circuit connections will be capped at the locational onshore </w:t>
            </w:r>
            <w:r w:rsidRPr="00C56A4B">
              <w:rPr>
                <w:rFonts w:ascii="Arial" w:hAnsi="Arial" w:cs="Arial"/>
              </w:rPr>
              <w:t>security factor</w:t>
            </w:r>
            <w:r w:rsidRPr="00C56A4B">
              <w:rPr>
                <w:rFonts w:ascii="Arial" w:hAnsi="Arial" w:cs="Arial"/>
                <w:color w:val="FF0000"/>
              </w:rPr>
              <w:t xml:space="preserve"> expressed to eight decimal places</w:t>
            </w:r>
            <w:r w:rsidRPr="00C56A4B">
              <w:rPr>
                <w:rFonts w:ascii="Arial" w:hAnsi="Arial" w:cs="Arial"/>
              </w:rPr>
              <w:t xml:space="preserve">, derived in accordance with 14.15.88-14.15.90. </w:t>
            </w:r>
          </w:p>
        </w:tc>
      </w:tr>
      <w:tr w:rsidR="00C56A4B" w14:paraId="1D280CC9" w14:textId="77777777" w:rsidTr="00C56A4B">
        <w:trPr>
          <w:trHeight w:val="730"/>
        </w:trPr>
        <w:tc>
          <w:tcPr>
            <w:tcW w:w="1209" w:type="dxa"/>
            <w:tcMar>
              <w:top w:w="0" w:type="dxa"/>
              <w:left w:w="108" w:type="dxa"/>
              <w:bottom w:w="0" w:type="dxa"/>
              <w:right w:w="108" w:type="dxa"/>
            </w:tcMar>
            <w:hideMark/>
          </w:tcPr>
          <w:p w14:paraId="22078F39" w14:textId="77777777" w:rsidR="00C56A4B" w:rsidRDefault="00C56A4B" w:rsidP="00C56A4B">
            <w:pPr>
              <w:autoSpaceDE w:val="0"/>
              <w:autoSpaceDN w:val="0"/>
              <w:jc w:val="both"/>
              <w:rPr>
                <w:rFonts w:ascii="Arial" w:hAnsi="Arial" w:cs="Arial"/>
                <w:color w:val="000000"/>
              </w:rPr>
            </w:pPr>
            <w:r>
              <w:rPr>
                <w:rFonts w:ascii="Arial" w:hAnsi="Arial" w:cs="Arial"/>
                <w:color w:val="000000"/>
              </w:rPr>
              <w:t xml:space="preserve">14.15.95 </w:t>
            </w:r>
          </w:p>
        </w:tc>
        <w:tc>
          <w:tcPr>
            <w:tcW w:w="8397" w:type="dxa"/>
            <w:tcMar>
              <w:top w:w="0" w:type="dxa"/>
              <w:left w:w="108" w:type="dxa"/>
              <w:bottom w:w="0" w:type="dxa"/>
              <w:right w:w="108" w:type="dxa"/>
            </w:tcMar>
            <w:hideMark/>
          </w:tcPr>
          <w:p w14:paraId="170E347C" w14:textId="77777777" w:rsidR="00C56A4B" w:rsidRDefault="00C56A4B" w:rsidP="00C56A4B">
            <w:pPr>
              <w:autoSpaceDE w:val="0"/>
              <w:autoSpaceDN w:val="0"/>
              <w:jc w:val="both"/>
              <w:rPr>
                <w:rFonts w:ascii="Arial" w:hAnsi="Arial" w:cs="Arial"/>
                <w:color w:val="000000"/>
              </w:rPr>
            </w:pPr>
            <w:r w:rsidRPr="6AC8975E">
              <w:rPr>
                <w:rFonts w:ascii="Arial" w:hAnsi="Arial" w:cs="Arial"/>
                <w:color w:val="000000"/>
              </w:rPr>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the locational onshore security factor</w:t>
            </w:r>
            <w:r w:rsidRPr="6AC8975E">
              <w:rPr>
                <w:rFonts w:ascii="Arial" w:hAnsi="Arial" w:cs="Arial"/>
                <w:color w:val="FF0000"/>
              </w:rPr>
              <w:t xml:space="preserve"> expressed to eight decimal places</w:t>
            </w:r>
            <w:r w:rsidRPr="6AC8975E">
              <w:rPr>
                <w:rFonts w:ascii="Arial" w:hAnsi="Arial" w:cs="Arial"/>
                <w:color w:val="000000"/>
              </w:rPr>
              <w:t xml:space="preserve">, will be calculated for each offshore connection using the following methodology: </w:t>
            </w:r>
          </w:p>
          <w:p w14:paraId="1700240F" w14:textId="77777777" w:rsidR="00C56A4B" w:rsidRDefault="00C56A4B" w:rsidP="00C56A4B">
            <w:pPr>
              <w:autoSpaceDE w:val="0"/>
              <w:autoSpaceDN w:val="0"/>
              <w:jc w:val="both"/>
              <w:rPr>
                <w:rFonts w:ascii="Arial" w:hAnsi="Arial" w:cs="Arial"/>
                <w:color w:val="000000"/>
              </w:rPr>
            </w:pPr>
            <w:r>
              <w:rPr>
                <w:rFonts w:cs="Arial"/>
                <w:noProof/>
                <w:color w:val="9BBB59"/>
                <w:position w:val="-46"/>
                <w:lang w:eastAsia="en-GB"/>
              </w:rPr>
              <w:drawing>
                <wp:inline distT="0" distB="0" distL="0" distR="0" wp14:anchorId="26D7F479" wp14:editId="45CA8725">
                  <wp:extent cx="3933825"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3825" cy="533400"/>
                          </a:xfrm>
                          <a:prstGeom prst="rect">
                            <a:avLst/>
                          </a:prstGeom>
                          <a:noFill/>
                          <a:ln>
                            <a:noFill/>
                          </a:ln>
                        </pic:spPr>
                      </pic:pic>
                    </a:graphicData>
                  </a:graphic>
                </wp:inline>
              </w:drawing>
            </w:r>
          </w:p>
          <w:p w14:paraId="7B7410F6" w14:textId="77777777" w:rsidR="00C56A4B" w:rsidRDefault="00C56A4B" w:rsidP="00C56A4B">
            <w:pPr>
              <w:pStyle w:val="1"/>
              <w:ind w:firstLine="94"/>
              <w:jc w:val="both"/>
              <w:rPr>
                <w:lang w:eastAsia="en-GB"/>
              </w:rPr>
            </w:pPr>
            <w:r>
              <w:rPr>
                <w:lang w:eastAsia="en-GB"/>
              </w:rPr>
              <w:t xml:space="preserve">Where: </w:t>
            </w:r>
          </w:p>
          <w:p w14:paraId="2EBBB271" w14:textId="77777777" w:rsidR="00C56A4B" w:rsidRDefault="00C56A4B" w:rsidP="00C56A4B">
            <w:pPr>
              <w:pStyle w:val="1"/>
              <w:ind w:left="1512" w:hanging="1465"/>
              <w:jc w:val="both"/>
              <w:rPr>
                <w:lang w:eastAsia="en-GB"/>
              </w:rPr>
            </w:pPr>
            <w:proofErr w:type="spellStart"/>
            <w:r>
              <w:rPr>
                <w:lang w:eastAsia="en-GB"/>
              </w:rPr>
              <w:t>IRevOFTO</w:t>
            </w:r>
            <w:proofErr w:type="spellEnd"/>
            <w:r>
              <w:rPr>
                <w:lang w:eastAsia="en-GB"/>
              </w:rPr>
              <w:t xml:space="preserve"> =  The appropriate proportion of the Offshore Interlink(s) revenue in £ associated with the offshore connection calculated in 14.15.85 </w:t>
            </w:r>
          </w:p>
          <w:p w14:paraId="71B9634D" w14:textId="77777777" w:rsidR="00C56A4B" w:rsidRDefault="00C56A4B" w:rsidP="00C56A4B">
            <w:pPr>
              <w:pStyle w:val="1"/>
              <w:ind w:left="1512" w:hanging="1559"/>
              <w:jc w:val="both"/>
              <w:rPr>
                <w:lang w:eastAsia="en-GB"/>
              </w:rPr>
            </w:pPr>
            <w:proofErr w:type="spellStart"/>
            <w:r>
              <w:rPr>
                <w:lang w:eastAsia="en-GB"/>
              </w:rPr>
              <w:t>CRevOFTO</w:t>
            </w:r>
            <w:proofErr w:type="spellEnd"/>
            <w:r>
              <w:rPr>
                <w:lang w:eastAsia="en-GB"/>
              </w:rPr>
              <w:t xml:space="preserve"> =  The offshore circuit revenue in £ associated with the circuit(s) from the offshore substation to the Single Common Substation.</w:t>
            </w:r>
          </w:p>
          <w:p w14:paraId="70238166" w14:textId="77777777" w:rsidR="00C56A4B" w:rsidRDefault="00C56A4B" w:rsidP="00C56A4B">
            <w:pPr>
              <w:pStyle w:val="1"/>
              <w:ind w:left="1512" w:hanging="1559"/>
              <w:jc w:val="both"/>
              <w:rPr>
                <w:rFonts w:ascii="Arial" w:hAnsi="Arial" w:cs="Arial"/>
                <w:color w:val="000000"/>
              </w:rPr>
            </w:pPr>
            <w:proofErr w:type="spellStart"/>
            <w:r>
              <w:rPr>
                <w:u w:val="single"/>
                <w:lang w:eastAsia="en-GB"/>
              </w:rPr>
              <w:t>LocalSF</w:t>
            </w:r>
            <w:r>
              <w:rPr>
                <w:u w:val="single"/>
                <w:vertAlign w:val="subscript"/>
                <w:lang w:eastAsia="en-GB"/>
              </w:rPr>
              <w:t>initial</w:t>
            </w:r>
            <w:proofErr w:type="spellEnd"/>
            <w:r>
              <w:rPr>
                <w:u w:val="single"/>
                <w:lang w:eastAsia="en-GB"/>
              </w:rPr>
              <w:t xml:space="preserve"> </w:t>
            </w:r>
            <w:r>
              <w:rPr>
                <w:lang w:eastAsia="en-GB"/>
              </w:rPr>
              <w:t xml:space="preserve">=    Initial Local Security Factor calculated in 14.15.93 and 14.15.94 and other definitions as in 14.15.93 </w:t>
            </w:r>
          </w:p>
        </w:tc>
      </w:tr>
      <w:bookmarkEnd w:id="2"/>
      <w:bookmarkEnd w:id="3"/>
    </w:tbl>
    <w:p w14:paraId="247F2FB2" w14:textId="77777777" w:rsidR="00DF1048" w:rsidRPr="00DF1048" w:rsidRDefault="00DF1048" w:rsidP="00DF1048">
      <w:pPr>
        <w:rPr>
          <w:lang w:eastAsia="en-GB"/>
        </w:rPr>
      </w:pPr>
    </w:p>
    <w:sectPr w:rsidR="00DF1048" w:rsidRPr="00DF10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14909"/>
    <w:multiLevelType w:val="multilevel"/>
    <w:tmpl w:val="340CFED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48"/>
    <w:rsid w:val="0068765F"/>
    <w:rsid w:val="007C680E"/>
    <w:rsid w:val="00822D0C"/>
    <w:rsid w:val="00C335B9"/>
    <w:rsid w:val="00C56A4B"/>
    <w:rsid w:val="00D546CE"/>
    <w:rsid w:val="00DF1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8A05"/>
  <w15:chartTrackingRefBased/>
  <w15:docId w15:val="{7F7ACCD8-B407-4D99-8CAB-47D61977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DF1048"/>
    <w:pPr>
      <w:keepNext/>
      <w:numPr>
        <w:numId w:val="1"/>
      </w:numPr>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Arial"/>
      <w:b/>
      <w:bCs/>
      <w:iCs/>
      <w:color w:val="FFFFFF"/>
      <w:kern w:val="32"/>
      <w:sz w:val="28"/>
      <w:szCs w:val="32"/>
      <w:lang w:eastAsia="en-GB"/>
    </w:rPr>
  </w:style>
  <w:style w:type="paragraph" w:styleId="Heading2">
    <w:name w:val="heading 2"/>
    <w:basedOn w:val="Normal"/>
    <w:next w:val="Normal"/>
    <w:link w:val="Heading2Char"/>
    <w:semiHidden/>
    <w:unhideWhenUsed/>
    <w:qFormat/>
    <w:rsid w:val="00DF1048"/>
    <w:pPr>
      <w:keepNext/>
      <w:numPr>
        <w:ilvl w:val="1"/>
        <w:numId w:val="1"/>
      </w:numPr>
      <w:spacing w:before="120" w:after="120" w:line="840" w:lineRule="atLeast"/>
      <w:outlineLvl w:val="1"/>
    </w:pPr>
    <w:rPr>
      <w:rFonts w:ascii="Arial" w:eastAsia="Times New Roman" w:hAnsi="Arial" w:cs="Arial"/>
      <w:bCs/>
      <w:iCs/>
      <w:color w:val="008576"/>
      <w:sz w:val="80"/>
      <w:szCs w:val="28"/>
      <w:lang w:eastAsia="en-GB"/>
    </w:rPr>
  </w:style>
  <w:style w:type="paragraph" w:styleId="Heading3">
    <w:name w:val="heading 3"/>
    <w:basedOn w:val="Normal"/>
    <w:next w:val="Normal"/>
    <w:link w:val="Heading3Char"/>
    <w:semiHidden/>
    <w:unhideWhenUsed/>
    <w:qFormat/>
    <w:rsid w:val="00DF1048"/>
    <w:pPr>
      <w:keepNext/>
      <w:keepLines/>
      <w:numPr>
        <w:ilvl w:val="2"/>
        <w:numId w:val="1"/>
      </w:numPr>
      <w:spacing w:before="200" w:after="120" w:line="300" w:lineRule="atLeast"/>
      <w:outlineLvl w:val="2"/>
    </w:pPr>
    <w:rPr>
      <w:rFonts w:ascii="Calibri" w:eastAsia="MS Gothic" w:hAnsi="Calibri" w:cs="Times New Roman"/>
      <w:b/>
      <w:bCs/>
      <w:color w:val="4F81BD"/>
      <w:sz w:val="20"/>
      <w:szCs w:val="24"/>
      <w:lang w:eastAsia="en-GB"/>
    </w:rPr>
  </w:style>
  <w:style w:type="paragraph" w:styleId="Heading4">
    <w:name w:val="heading 4"/>
    <w:basedOn w:val="Normal"/>
    <w:next w:val="Normal"/>
    <w:link w:val="Heading4Char"/>
    <w:semiHidden/>
    <w:unhideWhenUsed/>
    <w:qFormat/>
    <w:rsid w:val="00DF1048"/>
    <w:pPr>
      <w:keepNext/>
      <w:keepLines/>
      <w:numPr>
        <w:ilvl w:val="3"/>
        <w:numId w:val="1"/>
      </w:numPr>
      <w:spacing w:before="200" w:after="120" w:line="300" w:lineRule="atLeast"/>
      <w:outlineLvl w:val="3"/>
    </w:pPr>
    <w:rPr>
      <w:rFonts w:ascii="Calibri" w:eastAsia="MS Gothic" w:hAnsi="Calibri" w:cs="Times New Roman"/>
      <w:b/>
      <w:bCs/>
      <w:i/>
      <w:iCs/>
      <w:color w:val="4F81BD"/>
      <w:sz w:val="20"/>
      <w:szCs w:val="24"/>
      <w:lang w:eastAsia="en-GB"/>
    </w:rPr>
  </w:style>
  <w:style w:type="paragraph" w:styleId="Heading5">
    <w:name w:val="heading 5"/>
    <w:basedOn w:val="Normal"/>
    <w:next w:val="Normal"/>
    <w:link w:val="Heading5Char"/>
    <w:semiHidden/>
    <w:unhideWhenUsed/>
    <w:qFormat/>
    <w:rsid w:val="00DF1048"/>
    <w:pPr>
      <w:keepNext/>
      <w:keepLines/>
      <w:numPr>
        <w:ilvl w:val="4"/>
        <w:numId w:val="1"/>
      </w:numPr>
      <w:spacing w:before="200" w:after="120" w:line="300" w:lineRule="atLeast"/>
      <w:outlineLvl w:val="4"/>
    </w:pPr>
    <w:rPr>
      <w:rFonts w:ascii="Calibri" w:eastAsia="MS Gothic" w:hAnsi="Calibri" w:cs="Times New Roman"/>
      <w:color w:val="244061"/>
      <w:sz w:val="20"/>
      <w:szCs w:val="24"/>
      <w:lang w:eastAsia="en-GB"/>
    </w:rPr>
  </w:style>
  <w:style w:type="paragraph" w:styleId="Heading6">
    <w:name w:val="heading 6"/>
    <w:basedOn w:val="Normal"/>
    <w:next w:val="Normal"/>
    <w:link w:val="Heading6Char"/>
    <w:semiHidden/>
    <w:unhideWhenUsed/>
    <w:qFormat/>
    <w:rsid w:val="00DF1048"/>
    <w:pPr>
      <w:keepNext/>
      <w:keepLines/>
      <w:numPr>
        <w:ilvl w:val="5"/>
        <w:numId w:val="1"/>
      </w:numPr>
      <w:spacing w:before="200" w:after="120" w:line="300" w:lineRule="atLeast"/>
      <w:outlineLvl w:val="5"/>
    </w:pPr>
    <w:rPr>
      <w:rFonts w:ascii="Calibri" w:eastAsia="MS Gothic" w:hAnsi="Calibri" w:cs="Times New Roman"/>
      <w:i/>
      <w:iCs/>
      <w:color w:val="244061"/>
      <w:sz w:val="20"/>
      <w:szCs w:val="24"/>
      <w:lang w:eastAsia="en-GB"/>
    </w:rPr>
  </w:style>
  <w:style w:type="paragraph" w:styleId="Heading7">
    <w:name w:val="heading 7"/>
    <w:basedOn w:val="Normal"/>
    <w:next w:val="Normal"/>
    <w:link w:val="Heading7Char"/>
    <w:semiHidden/>
    <w:unhideWhenUsed/>
    <w:qFormat/>
    <w:rsid w:val="00DF1048"/>
    <w:pPr>
      <w:keepNext/>
      <w:keepLines/>
      <w:numPr>
        <w:ilvl w:val="6"/>
        <w:numId w:val="1"/>
      </w:numPr>
      <w:spacing w:before="200" w:after="120" w:line="300" w:lineRule="atLeast"/>
      <w:outlineLvl w:val="6"/>
    </w:pPr>
    <w:rPr>
      <w:rFonts w:ascii="Calibri" w:eastAsia="MS Gothic" w:hAnsi="Calibri" w:cs="Times New Roman"/>
      <w:i/>
      <w:iCs/>
      <w:color w:val="404040"/>
      <w:sz w:val="20"/>
      <w:szCs w:val="24"/>
      <w:lang w:eastAsia="en-GB"/>
    </w:rPr>
  </w:style>
  <w:style w:type="paragraph" w:styleId="Heading8">
    <w:name w:val="heading 8"/>
    <w:basedOn w:val="Normal"/>
    <w:next w:val="Normal"/>
    <w:link w:val="Heading8Char"/>
    <w:semiHidden/>
    <w:unhideWhenUsed/>
    <w:qFormat/>
    <w:rsid w:val="00DF1048"/>
    <w:pPr>
      <w:keepNext/>
      <w:keepLines/>
      <w:numPr>
        <w:ilvl w:val="7"/>
        <w:numId w:val="1"/>
      </w:numPr>
      <w:spacing w:before="200" w:after="120" w:line="300" w:lineRule="atLeast"/>
      <w:outlineLvl w:val="7"/>
    </w:pPr>
    <w:rPr>
      <w:rFonts w:ascii="Calibri" w:eastAsia="MS Gothic" w:hAnsi="Calibri" w:cs="Times New Roman"/>
      <w:color w:val="363636"/>
      <w:sz w:val="20"/>
      <w:szCs w:val="20"/>
      <w:lang w:eastAsia="en-GB"/>
    </w:rPr>
  </w:style>
  <w:style w:type="paragraph" w:styleId="Heading9">
    <w:name w:val="heading 9"/>
    <w:basedOn w:val="Normal"/>
    <w:next w:val="Normal"/>
    <w:link w:val="Heading9Char"/>
    <w:semiHidden/>
    <w:unhideWhenUsed/>
    <w:qFormat/>
    <w:rsid w:val="00DF1048"/>
    <w:pPr>
      <w:keepNext/>
      <w:keepLines/>
      <w:numPr>
        <w:ilvl w:val="8"/>
        <w:numId w:val="1"/>
      </w:numPr>
      <w:spacing w:before="200" w:after="120" w:line="300" w:lineRule="atLeast"/>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1048"/>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basedOn w:val="DefaultParagraphFont"/>
    <w:link w:val="Heading2"/>
    <w:semiHidden/>
    <w:rsid w:val="00DF1048"/>
    <w:rPr>
      <w:rFonts w:ascii="Arial" w:eastAsia="Times New Roman" w:hAnsi="Arial" w:cs="Arial"/>
      <w:bCs/>
      <w:iCs/>
      <w:color w:val="008576"/>
      <w:sz w:val="80"/>
      <w:szCs w:val="28"/>
      <w:lang w:eastAsia="en-GB"/>
    </w:rPr>
  </w:style>
  <w:style w:type="character" w:customStyle="1" w:styleId="Heading3Char">
    <w:name w:val="Heading 3 Char"/>
    <w:basedOn w:val="DefaultParagraphFont"/>
    <w:link w:val="Heading3"/>
    <w:semiHidden/>
    <w:rsid w:val="00DF1048"/>
    <w:rPr>
      <w:rFonts w:ascii="Calibri" w:eastAsia="MS Gothic" w:hAnsi="Calibri" w:cs="Times New Roman"/>
      <w:b/>
      <w:bCs/>
      <w:color w:val="4F81BD"/>
      <w:sz w:val="20"/>
      <w:szCs w:val="24"/>
      <w:lang w:eastAsia="en-GB"/>
    </w:rPr>
  </w:style>
  <w:style w:type="character" w:customStyle="1" w:styleId="Heading4Char">
    <w:name w:val="Heading 4 Char"/>
    <w:basedOn w:val="DefaultParagraphFont"/>
    <w:link w:val="Heading4"/>
    <w:semiHidden/>
    <w:rsid w:val="00DF1048"/>
    <w:rPr>
      <w:rFonts w:ascii="Calibri" w:eastAsia="MS Gothic" w:hAnsi="Calibri" w:cs="Times New Roman"/>
      <w:b/>
      <w:bCs/>
      <w:i/>
      <w:iCs/>
      <w:color w:val="4F81BD"/>
      <w:sz w:val="20"/>
      <w:szCs w:val="24"/>
      <w:lang w:eastAsia="en-GB"/>
    </w:rPr>
  </w:style>
  <w:style w:type="character" w:customStyle="1" w:styleId="Heading5Char">
    <w:name w:val="Heading 5 Char"/>
    <w:basedOn w:val="DefaultParagraphFont"/>
    <w:link w:val="Heading5"/>
    <w:semiHidden/>
    <w:rsid w:val="00DF1048"/>
    <w:rPr>
      <w:rFonts w:ascii="Calibri" w:eastAsia="MS Gothic" w:hAnsi="Calibri" w:cs="Times New Roman"/>
      <w:color w:val="244061"/>
      <w:sz w:val="20"/>
      <w:szCs w:val="24"/>
      <w:lang w:eastAsia="en-GB"/>
    </w:rPr>
  </w:style>
  <w:style w:type="character" w:customStyle="1" w:styleId="Heading6Char">
    <w:name w:val="Heading 6 Char"/>
    <w:basedOn w:val="DefaultParagraphFont"/>
    <w:link w:val="Heading6"/>
    <w:semiHidden/>
    <w:rsid w:val="00DF1048"/>
    <w:rPr>
      <w:rFonts w:ascii="Calibri" w:eastAsia="MS Gothic" w:hAnsi="Calibri" w:cs="Times New Roman"/>
      <w:i/>
      <w:iCs/>
      <w:color w:val="244061"/>
      <w:sz w:val="20"/>
      <w:szCs w:val="24"/>
      <w:lang w:eastAsia="en-GB"/>
    </w:rPr>
  </w:style>
  <w:style w:type="character" w:customStyle="1" w:styleId="Heading7Char">
    <w:name w:val="Heading 7 Char"/>
    <w:basedOn w:val="DefaultParagraphFont"/>
    <w:link w:val="Heading7"/>
    <w:semiHidden/>
    <w:rsid w:val="00DF1048"/>
    <w:rPr>
      <w:rFonts w:ascii="Calibri" w:eastAsia="MS Gothic" w:hAnsi="Calibri" w:cs="Times New Roman"/>
      <w:i/>
      <w:iCs/>
      <w:color w:val="404040"/>
      <w:sz w:val="20"/>
      <w:szCs w:val="24"/>
      <w:lang w:eastAsia="en-GB"/>
    </w:rPr>
  </w:style>
  <w:style w:type="character" w:customStyle="1" w:styleId="Heading8Char">
    <w:name w:val="Heading 8 Char"/>
    <w:basedOn w:val="DefaultParagraphFont"/>
    <w:link w:val="Heading8"/>
    <w:semiHidden/>
    <w:rsid w:val="00DF1048"/>
    <w:rPr>
      <w:rFonts w:ascii="Calibri" w:eastAsia="MS Gothic" w:hAnsi="Calibri" w:cs="Times New Roman"/>
      <w:color w:val="363636"/>
      <w:sz w:val="20"/>
      <w:szCs w:val="20"/>
      <w:lang w:eastAsia="en-GB"/>
    </w:rPr>
  </w:style>
  <w:style w:type="character" w:customStyle="1" w:styleId="Heading9Char">
    <w:name w:val="Heading 9 Char"/>
    <w:basedOn w:val="DefaultParagraphFont"/>
    <w:link w:val="Heading9"/>
    <w:semiHidden/>
    <w:rsid w:val="00DF1048"/>
    <w:rPr>
      <w:rFonts w:ascii="Calibri" w:eastAsia="MS Gothic" w:hAnsi="Calibri" w:cs="Times New Roman"/>
      <w:i/>
      <w:iCs/>
      <w:color w:val="363636"/>
      <w:sz w:val="20"/>
      <w:szCs w:val="20"/>
      <w:lang w:eastAsia="en-GB"/>
    </w:rPr>
  </w:style>
  <w:style w:type="character" w:styleId="Hyperlink">
    <w:name w:val="Hyperlink"/>
    <w:semiHidden/>
    <w:unhideWhenUsed/>
    <w:rsid w:val="00DF1048"/>
    <w:rPr>
      <w:color w:val="0000FF"/>
      <w:u w:val="single"/>
    </w:rPr>
  </w:style>
  <w:style w:type="paragraph" w:customStyle="1" w:styleId="1">
    <w:name w:val="1"/>
    <w:aliases w:val="2,3"/>
    <w:basedOn w:val="Normal"/>
    <w:uiPriority w:val="99"/>
    <w:rsid w:val="00DF1048"/>
    <w:pPr>
      <w:spacing w:after="0" w:line="240" w:lineRule="auto"/>
    </w:pPr>
    <w:rPr>
      <w:rFonts w:ascii="Arial (W1)" w:eastAsia="Times New Roman" w:hAnsi="Arial (W1)"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74A51C-01DF-4955-A5D6-FB22D598C5CF}">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12EC15A6-C2FE-4289-BC5C-50F0F28AF9E9}">
  <ds:schemaRefs>
    <ds:schemaRef ds:uri="http://schemas.microsoft.com/sharepoint/v3/contenttype/forms"/>
  </ds:schemaRefs>
</ds:datastoreItem>
</file>

<file path=customXml/itemProps3.xml><?xml version="1.0" encoding="utf-8"?>
<ds:datastoreItem xmlns:ds="http://schemas.openxmlformats.org/officeDocument/2006/customXml" ds:itemID="{18F40B4E-591F-465A-8D5F-3AF6C7981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700</Words>
  <Characters>3995</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5</cp:revision>
  <dcterms:created xsi:type="dcterms:W3CDTF">2021-01-05T16:27:00Z</dcterms:created>
  <dcterms:modified xsi:type="dcterms:W3CDTF">2021-01-05T16:57:00Z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